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A67" w:rsidRDefault="004C2A67" w:rsidP="004C2A67">
      <w:pPr>
        <w:tabs>
          <w:tab w:val="left" w:pos="-8481"/>
        </w:tabs>
        <w:ind w:left="-1419"/>
        <w:rPr>
          <w:b/>
          <w:szCs w:val="20"/>
        </w:rPr>
      </w:pPr>
    </w:p>
    <w:p w:rsidR="004C2A67" w:rsidRPr="001E1B2C" w:rsidRDefault="004C2A67" w:rsidP="004C2A67">
      <w:pPr>
        <w:tabs>
          <w:tab w:val="left" w:pos="-8481"/>
        </w:tabs>
        <w:ind w:left="-1419"/>
        <w:rPr>
          <w:color w:val="000000"/>
          <w:sz w:val="28"/>
          <w:szCs w:val="28"/>
        </w:rPr>
      </w:pPr>
      <w:r>
        <w:rPr>
          <w:b/>
          <w:szCs w:val="20"/>
        </w:rPr>
        <w:t xml:space="preserve">                                                                                                                                                                                                                   </w:t>
      </w:r>
      <w:r>
        <w:rPr>
          <w:b/>
          <w:szCs w:val="20"/>
        </w:rPr>
        <w:tab/>
      </w:r>
      <w:r>
        <w:rPr>
          <w:b/>
          <w:szCs w:val="20"/>
        </w:rPr>
        <w:tab/>
      </w:r>
      <w:r w:rsidRPr="001E1B2C">
        <w:rPr>
          <w:b/>
          <w:szCs w:val="20"/>
        </w:rPr>
        <w:t xml:space="preserve">                              </w:t>
      </w:r>
      <w:r w:rsidRPr="001E1B2C">
        <w:rPr>
          <w:b/>
          <w:color w:val="000000"/>
          <w:szCs w:val="20"/>
        </w:rPr>
        <w:t xml:space="preserve"> </w:t>
      </w:r>
      <w:r w:rsidRPr="001E1B2C">
        <w:rPr>
          <w:color w:val="000000"/>
          <w:szCs w:val="20"/>
        </w:rPr>
        <w:t xml:space="preserve"> </w:t>
      </w:r>
    </w:p>
    <w:p w:rsidR="004C2A67" w:rsidRPr="001E1B2C" w:rsidRDefault="004C2A67" w:rsidP="004C2A67">
      <w:pPr>
        <w:numPr>
          <w:ilvl w:val="0"/>
          <w:numId w:val="1"/>
        </w:numPr>
        <w:tabs>
          <w:tab w:val="left" w:pos="-9904"/>
          <w:tab w:val="left" w:pos="-8846"/>
        </w:tabs>
        <w:ind w:left="-2476" w:hanging="360"/>
        <w:rPr>
          <w:color w:val="000000"/>
          <w:sz w:val="28"/>
          <w:szCs w:val="28"/>
        </w:rPr>
      </w:pPr>
      <w:r w:rsidRPr="001E1B2C">
        <w:rPr>
          <w:color w:val="000000"/>
          <w:sz w:val="28"/>
          <w:szCs w:val="28"/>
        </w:rPr>
        <w:t xml:space="preserve">                                                   </w:t>
      </w:r>
    </w:p>
    <w:p w:rsidR="004C2A67" w:rsidRPr="001E1B2C" w:rsidRDefault="004C2A67" w:rsidP="004C2A67">
      <w:pPr>
        <w:jc w:val="center"/>
        <w:rPr>
          <w:color w:val="000000"/>
          <w:sz w:val="28"/>
          <w:szCs w:val="28"/>
        </w:rPr>
      </w:pPr>
    </w:p>
    <w:p w:rsidR="004C2A67" w:rsidRDefault="004C2A67" w:rsidP="004C2A67">
      <w:pPr>
        <w:jc w:val="center"/>
        <w:rPr>
          <w:color w:val="000000"/>
        </w:rPr>
      </w:pPr>
    </w:p>
    <w:p w:rsidR="004C2A67" w:rsidRDefault="004C2A67" w:rsidP="004C2A67">
      <w:pPr>
        <w:jc w:val="center"/>
        <w:rPr>
          <w:color w:val="000000"/>
        </w:rPr>
      </w:pPr>
    </w:p>
    <w:p w:rsidR="004C2A67" w:rsidRPr="001E1B2C" w:rsidRDefault="004C2A67" w:rsidP="004C2A67">
      <w:pPr>
        <w:jc w:val="center"/>
        <w:rPr>
          <w:color w:val="000000"/>
        </w:rPr>
      </w:pPr>
    </w:p>
    <w:p w:rsidR="004C2A67" w:rsidRPr="001E1B2C" w:rsidRDefault="004C2A67" w:rsidP="004C2A67">
      <w:pPr>
        <w:jc w:val="center"/>
        <w:rPr>
          <w:color w:val="000000"/>
        </w:rPr>
      </w:pPr>
    </w:p>
    <w:p w:rsidR="004C2A67" w:rsidRPr="001E1B2C" w:rsidRDefault="004C2A67" w:rsidP="004C2A67">
      <w:pPr>
        <w:rPr>
          <w:b/>
          <w:bCs/>
          <w:color w:val="000000"/>
          <w:sz w:val="32"/>
          <w:szCs w:val="32"/>
        </w:rPr>
      </w:pPr>
    </w:p>
    <w:p w:rsidR="004C2A67" w:rsidRPr="001E1B2C" w:rsidRDefault="004C2A67"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sz w:val="36"/>
          <w:szCs w:val="36"/>
        </w:rPr>
      </w:pPr>
    </w:p>
    <w:p w:rsidR="004E131B" w:rsidRDefault="00B04FD5"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sz w:val="36"/>
          <w:szCs w:val="36"/>
        </w:rPr>
      </w:pPr>
      <w:r>
        <w:rPr>
          <w:b/>
          <w:bCs/>
          <w:color w:val="000000"/>
          <w:sz w:val="36"/>
          <w:szCs w:val="36"/>
        </w:rPr>
        <w:t>KAZNĚJOV – PŘÍJEZDOVÁ KOMUNIKACE</w:t>
      </w:r>
    </w:p>
    <w:p w:rsidR="007D12FF" w:rsidRDefault="00B04FD5"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sz w:val="36"/>
          <w:szCs w:val="36"/>
        </w:rPr>
      </w:pPr>
      <w:r>
        <w:rPr>
          <w:b/>
          <w:bCs/>
          <w:color w:val="000000"/>
          <w:sz w:val="36"/>
          <w:szCs w:val="36"/>
        </w:rPr>
        <w:t xml:space="preserve"> </w:t>
      </w:r>
      <w:r w:rsidR="004E131B">
        <w:rPr>
          <w:b/>
          <w:bCs/>
          <w:color w:val="000000"/>
          <w:sz w:val="36"/>
          <w:szCs w:val="36"/>
        </w:rPr>
        <w:t>K</w:t>
      </w:r>
      <w:r>
        <w:rPr>
          <w:b/>
          <w:bCs/>
          <w:color w:val="000000"/>
          <w:sz w:val="36"/>
          <w:szCs w:val="36"/>
        </w:rPr>
        <w:t>E SBĚRNÉMU DVORU</w:t>
      </w:r>
    </w:p>
    <w:p w:rsidR="004E131B" w:rsidRDefault="004E131B"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sz w:val="36"/>
          <w:szCs w:val="36"/>
        </w:rPr>
      </w:pPr>
    </w:p>
    <w:p w:rsidR="00B04FD5" w:rsidRDefault="00B04FD5"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sz w:val="28"/>
          <w:szCs w:val="28"/>
        </w:rPr>
      </w:pPr>
      <w:r>
        <w:rPr>
          <w:b/>
          <w:bCs/>
          <w:color w:val="000000"/>
          <w:sz w:val="36"/>
          <w:szCs w:val="36"/>
        </w:rPr>
        <w:t>SO 201 OPĚRNÁ ZEĎ</w:t>
      </w:r>
    </w:p>
    <w:p w:rsidR="004C2A67" w:rsidRPr="001E1B2C" w:rsidRDefault="004C2A67"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b/>
          <w:bCs/>
          <w:color w:val="000000"/>
        </w:rPr>
      </w:pPr>
    </w:p>
    <w:p w:rsidR="004C2A67" w:rsidRPr="001E1B2C" w:rsidRDefault="004C2A67" w:rsidP="004C2A67">
      <w:pPr>
        <w:pBdr>
          <w:top w:val="single" w:sz="20" w:space="1" w:color="000000" w:shadow="1"/>
          <w:left w:val="single" w:sz="20" w:space="4" w:color="000000" w:shadow="1"/>
          <w:bottom w:val="single" w:sz="20" w:space="1" w:color="000000" w:shadow="1"/>
          <w:right w:val="single" w:sz="20" w:space="4" w:color="000000" w:shadow="1"/>
        </w:pBdr>
        <w:ind w:left="360" w:right="252"/>
        <w:jc w:val="center"/>
        <w:rPr>
          <w:color w:val="000000"/>
        </w:rPr>
      </w:pPr>
    </w:p>
    <w:p w:rsidR="004C2A67" w:rsidRPr="001E1B2C" w:rsidRDefault="004C2A67" w:rsidP="004C2A67">
      <w:pPr>
        <w:jc w:val="center"/>
        <w:rPr>
          <w:color w:val="000000"/>
        </w:rPr>
      </w:pPr>
    </w:p>
    <w:p w:rsidR="004C2A67" w:rsidRPr="001E1B2C" w:rsidRDefault="004C2A67" w:rsidP="004C2A67">
      <w:pPr>
        <w:jc w:val="center"/>
        <w:rPr>
          <w:b/>
          <w:color w:val="000000"/>
        </w:rPr>
      </w:pPr>
    </w:p>
    <w:p w:rsidR="004C2A67" w:rsidRPr="001E1B2C" w:rsidRDefault="004C2A67" w:rsidP="004C2A67">
      <w:pPr>
        <w:rPr>
          <w:b/>
          <w:color w:val="000000"/>
        </w:rPr>
      </w:pPr>
    </w:p>
    <w:p w:rsidR="004C2A67" w:rsidRPr="001E1B2C" w:rsidRDefault="004C2A67" w:rsidP="004C2A67">
      <w:pPr>
        <w:jc w:val="center"/>
        <w:rPr>
          <w:b/>
          <w:color w:val="000000"/>
        </w:rPr>
      </w:pPr>
    </w:p>
    <w:p w:rsidR="004C2A67" w:rsidRPr="001E1B2C" w:rsidRDefault="004C2A67" w:rsidP="004C2A67">
      <w:pPr>
        <w:jc w:val="center"/>
        <w:rPr>
          <w:color w:val="000000"/>
        </w:rPr>
      </w:pPr>
      <w:r w:rsidRPr="001E1B2C">
        <w:rPr>
          <w:b/>
          <w:color w:val="000000"/>
        </w:rPr>
        <w:t xml:space="preserve">DOKUMENTACE </w:t>
      </w:r>
      <w:r>
        <w:rPr>
          <w:b/>
          <w:color w:val="000000"/>
        </w:rPr>
        <w:t xml:space="preserve">PRO </w:t>
      </w:r>
      <w:r w:rsidR="00B04FD5">
        <w:rPr>
          <w:b/>
          <w:color w:val="000000"/>
        </w:rPr>
        <w:t>DUSP+DPS</w:t>
      </w:r>
    </w:p>
    <w:p w:rsidR="004C2A67" w:rsidRPr="001E1B2C" w:rsidRDefault="004C2A67" w:rsidP="004C2A67">
      <w:pPr>
        <w:jc w:val="center"/>
        <w:rPr>
          <w:color w:val="000000"/>
        </w:rPr>
      </w:pPr>
    </w:p>
    <w:p w:rsidR="004C2A67" w:rsidRPr="001E1B2C" w:rsidRDefault="004C2A67" w:rsidP="004C2A67">
      <w:pPr>
        <w:jc w:val="center"/>
        <w:rPr>
          <w:color w:val="000000"/>
        </w:rPr>
      </w:pPr>
    </w:p>
    <w:p w:rsidR="004C2A67" w:rsidRPr="001E1B2C" w:rsidRDefault="004C2A67" w:rsidP="004C2A67">
      <w:pPr>
        <w:jc w:val="center"/>
        <w:rPr>
          <w:color w:val="000000"/>
        </w:rPr>
      </w:pPr>
    </w:p>
    <w:p w:rsidR="004C2A67" w:rsidRPr="001E1B2C" w:rsidRDefault="004C2A67" w:rsidP="004C2A67">
      <w:pPr>
        <w:jc w:val="center"/>
        <w:rPr>
          <w:b/>
          <w:color w:val="000000"/>
        </w:rPr>
      </w:pPr>
      <w:r>
        <w:rPr>
          <w:b/>
          <w:color w:val="000000"/>
          <w:sz w:val="44"/>
          <w:szCs w:val="44"/>
        </w:rPr>
        <w:t>TECHNICKÁ ZPRÁVA</w:t>
      </w:r>
    </w:p>
    <w:p w:rsidR="004C2A67" w:rsidRPr="001E1B2C" w:rsidRDefault="004C2A67" w:rsidP="004C2A67">
      <w:pPr>
        <w:jc w:val="center"/>
        <w:rPr>
          <w:b/>
          <w:color w:val="000000"/>
        </w:rPr>
      </w:pPr>
    </w:p>
    <w:p w:rsidR="004C2A67" w:rsidRPr="001E1B2C" w:rsidRDefault="004C2A67" w:rsidP="004C2A67">
      <w:pPr>
        <w:jc w:val="center"/>
        <w:rPr>
          <w:b/>
          <w:color w:val="000000"/>
        </w:rPr>
      </w:pPr>
    </w:p>
    <w:p w:rsidR="004C2A67" w:rsidRPr="001E1B2C" w:rsidRDefault="004C2A67" w:rsidP="004C2A67">
      <w:pPr>
        <w:jc w:val="center"/>
        <w:rPr>
          <w:b/>
          <w:color w:val="000000"/>
        </w:rPr>
      </w:pPr>
    </w:p>
    <w:p w:rsidR="004C2A67" w:rsidRPr="001E1B2C" w:rsidRDefault="004C2A67" w:rsidP="004C2A67">
      <w:pPr>
        <w:jc w:val="center"/>
        <w:rPr>
          <w:b/>
          <w:color w:val="FF0000"/>
        </w:rPr>
      </w:pPr>
    </w:p>
    <w:p w:rsidR="004C2A67" w:rsidRPr="001E1B2C" w:rsidRDefault="004C2A67" w:rsidP="004C2A67">
      <w:pPr>
        <w:jc w:val="center"/>
        <w:rPr>
          <w:b/>
          <w:color w:val="FF0000"/>
        </w:rPr>
      </w:pPr>
    </w:p>
    <w:p w:rsidR="004C2A67" w:rsidRPr="001E1B2C" w:rsidRDefault="004C2A67" w:rsidP="004C2A67">
      <w:pPr>
        <w:jc w:val="center"/>
        <w:rPr>
          <w:b/>
          <w:color w:val="FF0000"/>
        </w:rPr>
      </w:pPr>
    </w:p>
    <w:p w:rsidR="004C2A67" w:rsidRPr="001E1B2C" w:rsidRDefault="004C2A67" w:rsidP="004C2A67">
      <w:pPr>
        <w:jc w:val="center"/>
        <w:rPr>
          <w:b/>
          <w:color w:val="FF0000"/>
        </w:rPr>
      </w:pPr>
    </w:p>
    <w:p w:rsidR="004C2A67" w:rsidRPr="001E1B2C"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FF0000"/>
        </w:rPr>
      </w:pPr>
    </w:p>
    <w:p w:rsidR="004C2A67" w:rsidRDefault="004C2A67" w:rsidP="004C2A67">
      <w:pPr>
        <w:jc w:val="both"/>
        <w:rPr>
          <w:color w:val="000000"/>
        </w:rPr>
      </w:pPr>
      <w:r w:rsidRPr="001E1B2C">
        <w:rPr>
          <w:color w:val="FF0000"/>
        </w:rPr>
        <w:tab/>
      </w:r>
      <w:r w:rsidR="00B04FD5">
        <w:t>Říjen</w:t>
      </w:r>
      <w:r w:rsidR="00672A50">
        <w:t xml:space="preserve"> </w:t>
      </w:r>
      <w:r>
        <w:rPr>
          <w:color w:val="000000"/>
        </w:rPr>
        <w:t>20</w:t>
      </w:r>
      <w:r w:rsidR="00287750">
        <w:rPr>
          <w:color w:val="000000"/>
        </w:rPr>
        <w:t>2</w:t>
      </w:r>
      <w:r w:rsidR="00672A50">
        <w:rPr>
          <w:color w:val="000000"/>
        </w:rPr>
        <w:t>3</w:t>
      </w:r>
      <w:r>
        <w:rPr>
          <w:color w:val="000000"/>
        </w:rPr>
        <w:tab/>
      </w:r>
      <w:r>
        <w:rPr>
          <w:color w:val="000000"/>
        </w:rPr>
        <w:tab/>
      </w:r>
      <w:r>
        <w:rPr>
          <w:color w:val="000000"/>
        </w:rPr>
        <w:tab/>
      </w:r>
      <w:r>
        <w:rPr>
          <w:color w:val="000000"/>
        </w:rPr>
        <w:tab/>
        <w:t xml:space="preserve">  </w:t>
      </w:r>
      <w:r>
        <w:rPr>
          <w:color w:val="000000"/>
        </w:rPr>
        <w:tab/>
      </w:r>
      <w:r>
        <w:rPr>
          <w:color w:val="000000"/>
        </w:rPr>
        <w:tab/>
        <w:t xml:space="preserve"> vypracoval: Ing. Martin Vaško</w:t>
      </w:r>
    </w:p>
    <w:p w:rsidR="004C2A67" w:rsidRDefault="001643AA" w:rsidP="004C2A67">
      <w:pPr>
        <w:pStyle w:val="Nadpis2"/>
        <w:numPr>
          <w:ilvl w:val="0"/>
          <w:numId w:val="3"/>
        </w:numPr>
      </w:pPr>
      <w:r>
        <w:lastRenderedPageBreak/>
        <w:t>Zemní práce</w:t>
      </w:r>
    </w:p>
    <w:p w:rsidR="001643AA" w:rsidRDefault="001643AA" w:rsidP="001643AA"/>
    <w:p w:rsidR="001643AA" w:rsidRDefault="001643AA" w:rsidP="001643AA"/>
    <w:p w:rsidR="001643AA" w:rsidRPr="003F0BEA" w:rsidRDefault="001643AA" w:rsidP="001643AA">
      <w:pPr>
        <w:ind w:firstLine="360"/>
        <w:jc w:val="both"/>
      </w:pPr>
      <w:r w:rsidRPr="003F0BEA">
        <w:t>Před zahájením zemních prací je nutno nechat provést vytýčení veškerých podzemních vedení jejich správci</w:t>
      </w:r>
      <w:r w:rsidR="00672A50">
        <w:t xml:space="preserve"> a vytýčit všechny areálové vedení v majetku investora</w:t>
      </w:r>
      <w:r w:rsidRPr="003F0BEA">
        <w:t>.</w:t>
      </w:r>
      <w:r w:rsidRPr="003F0BEA">
        <w:tab/>
      </w:r>
    </w:p>
    <w:p w:rsidR="00B04FD5" w:rsidRDefault="001643AA" w:rsidP="001643AA">
      <w:pPr>
        <w:ind w:firstLine="360"/>
        <w:jc w:val="both"/>
      </w:pPr>
      <w:r w:rsidRPr="003F0BEA">
        <w:tab/>
        <w:t>Potom bud</w:t>
      </w:r>
      <w:r w:rsidR="00B04FD5">
        <w:t>e</w:t>
      </w:r>
      <w:r w:rsidRPr="003F0BEA">
        <w:t xml:space="preserve"> proveden</w:t>
      </w:r>
      <w:r w:rsidR="00B04FD5">
        <w:t xml:space="preserve"> výkop</w:t>
      </w:r>
      <w:r w:rsidRPr="003F0BEA">
        <w:t xml:space="preserve"> pro </w:t>
      </w:r>
      <w:r w:rsidR="00B04FD5">
        <w:t>opěrnou zeď</w:t>
      </w:r>
      <w:r>
        <w:t>.</w:t>
      </w:r>
    </w:p>
    <w:p w:rsidR="001643AA" w:rsidRPr="003F0BEA" w:rsidRDefault="001643AA" w:rsidP="001643AA">
      <w:pPr>
        <w:ind w:firstLine="360"/>
        <w:jc w:val="both"/>
      </w:pPr>
      <w:r w:rsidRPr="003F0BEA">
        <w:tab/>
        <w:t>Výkopové práce budou prováděny dle ČSN 733050 zemní práce a norem souvisejících, s ohledem na požadavek ochrany základové půdy proti mechanickému porušení a ochrany proti neřízeným mechanickým vlivům</w:t>
      </w:r>
      <w:r>
        <w:t xml:space="preserve">. </w:t>
      </w:r>
      <w:r w:rsidRPr="003F0BEA">
        <w:t>Převzetí základové spáry bude provedeno za účasti geologa. Základová spára musí být bez nakypřené zeminy a bez vody.</w:t>
      </w:r>
      <w:r>
        <w:t xml:space="preserve"> </w:t>
      </w:r>
    </w:p>
    <w:p w:rsidR="001643AA" w:rsidRPr="001643AA" w:rsidRDefault="001643AA" w:rsidP="001643AA"/>
    <w:p w:rsidR="001643AA" w:rsidRDefault="00B04FD5" w:rsidP="001643AA">
      <w:pPr>
        <w:pStyle w:val="Nadpis2"/>
        <w:numPr>
          <w:ilvl w:val="0"/>
          <w:numId w:val="3"/>
        </w:numPr>
      </w:pPr>
      <w:r>
        <w:t>Opěrná zeď</w:t>
      </w:r>
    </w:p>
    <w:p w:rsidR="004C2A67" w:rsidRDefault="004C2A67" w:rsidP="004C2A67"/>
    <w:p w:rsidR="00B04FD5" w:rsidRDefault="00D86B9E" w:rsidP="00B04FD5">
      <w:pPr>
        <w:ind w:firstLine="360"/>
        <w:jc w:val="both"/>
      </w:pPr>
      <w:r>
        <w:t>Jedná se o</w:t>
      </w:r>
      <w:r w:rsidR="006D5FE4">
        <w:t xml:space="preserve"> </w:t>
      </w:r>
      <w:r w:rsidR="00B04FD5">
        <w:t>železobetonovou monolitickou opěrnou zeď ve tvaru L. Vodorovná i svislá část jsou navrženy v tloušťce 400</w:t>
      </w:r>
      <w:r w:rsidR="0011411D">
        <w:t>mm</w:t>
      </w:r>
      <w:bookmarkStart w:id="0" w:name="_GoBack"/>
      <w:bookmarkEnd w:id="0"/>
      <w:r w:rsidR="00B04FD5">
        <w:t>. Opěrná zeď je zakončena hlavou se sešikmenou horní a spodní plochou a tím je zajištěno odvedení vody z horního povrchu zdi a dále ostrá hrana tvoří okapový nos.</w:t>
      </w:r>
    </w:p>
    <w:p w:rsidR="00B04FD5" w:rsidRDefault="00B04FD5" w:rsidP="00B04FD5">
      <w:pPr>
        <w:ind w:firstLine="360"/>
        <w:jc w:val="both"/>
      </w:pPr>
      <w:r>
        <w:t xml:space="preserve">Opěrná zeď je rozdělena na 4ři dilatační celky (segment 1, 2, 3 a 4). V rámci dilatačních spár jsou vloženy nerezové smykové trny průměru 24mm. </w:t>
      </w:r>
    </w:p>
    <w:p w:rsidR="00B04FD5" w:rsidRDefault="00B04FD5" w:rsidP="00B04FD5">
      <w:pPr>
        <w:ind w:firstLine="360"/>
        <w:jc w:val="both"/>
      </w:pPr>
      <w:r>
        <w:t xml:space="preserve">Opěrná zeď má základovou spáru v jedné úrovni a to na kótě 407,100 </w:t>
      </w:r>
      <w:proofErr w:type="spellStart"/>
      <w:proofErr w:type="gramStart"/>
      <w:r>
        <w:t>m.n.</w:t>
      </w:r>
      <w:proofErr w:type="gramEnd"/>
      <w:r>
        <w:t>m</w:t>
      </w:r>
      <w:proofErr w:type="spellEnd"/>
      <w:r>
        <w:t xml:space="preserve">. Pod tuto úroveň zasahuje pouze provedení podkladního betonu. Horní hrana zdi je ve sklonu dle sklonu komunikace a tím pádem opěrná zeď na levé straně začíná na výšce 3500mm a končí na pravé straně na výšce 4500mm. S ohledem na výšku je rozdílná šířka spodní části opěrné zdi. U </w:t>
      </w:r>
      <w:proofErr w:type="gramStart"/>
      <w:r>
        <w:t>segmentu 1 a 2 , kde</w:t>
      </w:r>
      <w:proofErr w:type="gramEnd"/>
      <w:r>
        <w:t xml:space="preserve"> je zeď vyšší je spodní část šířky 3900mm. U segmentu 3 a 4, kde je zeď již nižší je šířka spodní části 3500mm.</w:t>
      </w:r>
      <w:r w:rsidR="004E131B">
        <w:t xml:space="preserve"> Celková délka zdi je 46,117m.</w:t>
      </w:r>
    </w:p>
    <w:p w:rsidR="00B04FD5" w:rsidRDefault="00B04FD5" w:rsidP="00B04FD5">
      <w:pPr>
        <w:ind w:firstLine="360"/>
        <w:jc w:val="both"/>
      </w:pPr>
      <w:r>
        <w:t>Z důvodu zabránění smykových trhlin je vždy v rámci jednoho segmentu navrženo provedení řízené spáry, která bude těsněná křížovým plechem.</w:t>
      </w:r>
    </w:p>
    <w:p w:rsidR="00B04FD5" w:rsidRDefault="00B04FD5" w:rsidP="00B04FD5">
      <w:pPr>
        <w:ind w:firstLine="360"/>
        <w:jc w:val="both"/>
      </w:pPr>
      <w:r>
        <w:t>Opěrná monolitická zeď je provedena z betonu C30/37 XC4 XF3. Výztuž je B500B s krytím 40mm.</w:t>
      </w:r>
    </w:p>
    <w:p w:rsidR="00B04FD5" w:rsidRDefault="00B04FD5" w:rsidP="00B04FD5">
      <w:pPr>
        <w:ind w:firstLine="360"/>
        <w:jc w:val="both"/>
      </w:pPr>
    </w:p>
    <w:p w:rsidR="00672A50" w:rsidRPr="00672A50" w:rsidRDefault="00B04FD5" w:rsidP="00B04FD5">
      <w:pPr>
        <w:ind w:firstLine="360"/>
        <w:jc w:val="both"/>
        <w:rPr>
          <w:b/>
        </w:rPr>
      </w:pPr>
      <w:r>
        <w:t>Zhotovitel před realizací opěrné zdi zajistí na své náklady zpracování dílenské dokumentace opěrné zdi (dořešení detailů tvaru, dilatačních spár, atd</w:t>
      </w:r>
      <w:r w:rsidR="004E131B">
        <w:t>..</w:t>
      </w:r>
      <w:r>
        <w:t>) a vytvoření dílenských výkresů výztuže.</w:t>
      </w:r>
    </w:p>
    <w:p w:rsidR="00CC18F1" w:rsidRDefault="00B04FD5" w:rsidP="00CC18F1">
      <w:pPr>
        <w:pStyle w:val="Nadpis2"/>
        <w:numPr>
          <w:ilvl w:val="0"/>
          <w:numId w:val="3"/>
        </w:numPr>
      </w:pPr>
      <w:r>
        <w:t>Drenáž</w:t>
      </w:r>
    </w:p>
    <w:p w:rsidR="00CC18F1" w:rsidRDefault="00CC18F1" w:rsidP="00CC18F1"/>
    <w:p w:rsidR="00CC18F1" w:rsidRDefault="00B04FD5" w:rsidP="007A57E8">
      <w:pPr>
        <w:ind w:firstLine="708"/>
        <w:jc w:val="both"/>
      </w:pPr>
      <w:r>
        <w:t xml:space="preserve">Za opěrnou zdí je navrženo provedení drenážního potrubí, které zajistí odvedení případných akumulovaných dešťových vod z prostoru za opěrnou zdí. </w:t>
      </w:r>
    </w:p>
    <w:p w:rsidR="004E131B" w:rsidRDefault="004E131B" w:rsidP="007A57E8">
      <w:pPr>
        <w:ind w:firstLine="708"/>
        <w:jc w:val="both"/>
      </w:pPr>
      <w:r>
        <w:t xml:space="preserve">Z důvodu zamezení prosakování vody skrz konstrukci opěrné zdi je zadní stěna opatřena izolační vrstvou z asfaltového SBS modifikovaného asfaltového pásu, který je chráněn následnou svislou drenážní vrstvou (nopová fólie s natavenou </w:t>
      </w:r>
      <w:proofErr w:type="spellStart"/>
      <w:r>
        <w:t>geotextilií</w:t>
      </w:r>
      <w:proofErr w:type="spellEnd"/>
      <w:r>
        <w:t>). Drenážní vrstva je zavedena do spodního štěrkového lože, kde s e v betonovém monolitickém žlábku nachází drenážní potrubí PVC DN 100, které je na dvou místech vyústěno před opěrnou zdí. Vyústění je navrženo tak, aby případná vytékající vody směřovala mimo objekt přilehlého rodinného domu.</w:t>
      </w:r>
    </w:p>
    <w:p w:rsidR="002366F8" w:rsidRDefault="002366F8" w:rsidP="00CC18F1">
      <w:pPr>
        <w:jc w:val="both"/>
      </w:pPr>
    </w:p>
    <w:p w:rsidR="004E131B" w:rsidRDefault="004E131B" w:rsidP="00CC18F1">
      <w:pPr>
        <w:jc w:val="both"/>
      </w:pPr>
    </w:p>
    <w:p w:rsidR="00C66BEC" w:rsidRPr="00356B96" w:rsidRDefault="004E131B" w:rsidP="00C66BEC">
      <w:pPr>
        <w:jc w:val="both"/>
      </w:pPr>
      <w:r>
        <w:t xml:space="preserve">V </w:t>
      </w:r>
      <w:r w:rsidR="00C66BEC">
        <w:t> </w:t>
      </w:r>
      <w:proofErr w:type="gramStart"/>
      <w:r w:rsidR="00C66BEC">
        <w:t xml:space="preserve">Plzni </w:t>
      </w:r>
      <w:r w:rsidR="00803684">
        <w:t xml:space="preserve"> </w:t>
      </w:r>
      <w:r w:rsidR="00B04FD5">
        <w:t>říjen</w:t>
      </w:r>
      <w:proofErr w:type="gramEnd"/>
      <w:r w:rsidR="00803684">
        <w:t xml:space="preserve"> </w:t>
      </w:r>
      <w:r w:rsidR="00041202">
        <w:t xml:space="preserve"> 202</w:t>
      </w:r>
      <w:r w:rsidR="003D3E3B">
        <w:t>3</w:t>
      </w:r>
      <w:r w:rsidR="00C66BEC">
        <w:tab/>
      </w:r>
      <w:r w:rsidR="00C66BEC">
        <w:tab/>
      </w:r>
      <w:r w:rsidR="00C66BEC">
        <w:tab/>
      </w:r>
      <w:r w:rsidR="00C66BEC">
        <w:tab/>
      </w:r>
      <w:r w:rsidR="00C66BEC">
        <w:tab/>
      </w:r>
      <w:r w:rsidR="003D3E3B">
        <w:tab/>
      </w:r>
      <w:r w:rsidR="00C66BEC">
        <w:t xml:space="preserve"> </w:t>
      </w:r>
      <w:r w:rsidR="00803684">
        <w:t>V</w:t>
      </w:r>
      <w:r w:rsidR="00C66BEC">
        <w:t>ypracoval: Ing. Martin Vaško</w:t>
      </w:r>
    </w:p>
    <w:sectPr w:rsidR="00C66BEC" w:rsidRPr="00356B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rPr>
        <w:rFonts w:ascii="Wingdings" w:hAnsi="Wingdings" w:cs="Wingding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E03AC7"/>
    <w:multiLevelType w:val="hybridMultilevel"/>
    <w:tmpl w:val="7EAC26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FF73F1"/>
    <w:multiLevelType w:val="hybridMultilevel"/>
    <w:tmpl w:val="DBD04B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573688"/>
    <w:multiLevelType w:val="hybridMultilevel"/>
    <w:tmpl w:val="A044D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641542A"/>
    <w:multiLevelType w:val="hybridMultilevel"/>
    <w:tmpl w:val="8AF4394C"/>
    <w:lvl w:ilvl="0" w:tplc="F09E60B6">
      <w:numFmt w:val="bullet"/>
      <w:lvlText w:val="-"/>
      <w:lvlJc w:val="left"/>
      <w:pPr>
        <w:ind w:left="3196" w:hanging="360"/>
      </w:pPr>
      <w:rPr>
        <w:rFonts w:ascii="Times New Roman" w:eastAsia="Times New Roman" w:hAnsi="Times New Roman" w:cs="Times New Roman"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5">
    <w:nsid w:val="3940112D"/>
    <w:multiLevelType w:val="hybridMultilevel"/>
    <w:tmpl w:val="54E09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C550FF4"/>
    <w:multiLevelType w:val="hybridMultilevel"/>
    <w:tmpl w:val="49440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4E062F8"/>
    <w:multiLevelType w:val="multilevel"/>
    <w:tmpl w:val="FB162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2D308A4"/>
    <w:multiLevelType w:val="hybridMultilevel"/>
    <w:tmpl w:val="0C102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F0E7FDC"/>
    <w:multiLevelType w:val="multilevel"/>
    <w:tmpl w:val="F2D68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8"/>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A67"/>
    <w:rsid w:val="00041202"/>
    <w:rsid w:val="00047623"/>
    <w:rsid w:val="000B413E"/>
    <w:rsid w:val="000C322E"/>
    <w:rsid w:val="000D2425"/>
    <w:rsid w:val="0011411D"/>
    <w:rsid w:val="00132E9C"/>
    <w:rsid w:val="001643AA"/>
    <w:rsid w:val="00205521"/>
    <w:rsid w:val="002366F8"/>
    <w:rsid w:val="00287750"/>
    <w:rsid w:val="002E39C6"/>
    <w:rsid w:val="00356B96"/>
    <w:rsid w:val="00390569"/>
    <w:rsid w:val="003A5570"/>
    <w:rsid w:val="003D3E3B"/>
    <w:rsid w:val="00417EBC"/>
    <w:rsid w:val="004C2A67"/>
    <w:rsid w:val="004E131B"/>
    <w:rsid w:val="00501534"/>
    <w:rsid w:val="00572DFD"/>
    <w:rsid w:val="006703E6"/>
    <w:rsid w:val="00672A50"/>
    <w:rsid w:val="006827AA"/>
    <w:rsid w:val="006B7A0E"/>
    <w:rsid w:val="006C67A1"/>
    <w:rsid w:val="006D5FE4"/>
    <w:rsid w:val="0079109C"/>
    <w:rsid w:val="007A57E8"/>
    <w:rsid w:val="007D12FF"/>
    <w:rsid w:val="007D76A4"/>
    <w:rsid w:val="00803684"/>
    <w:rsid w:val="0081404B"/>
    <w:rsid w:val="00A43705"/>
    <w:rsid w:val="00B04FD5"/>
    <w:rsid w:val="00C66BEC"/>
    <w:rsid w:val="00CC18F1"/>
    <w:rsid w:val="00D86B9E"/>
    <w:rsid w:val="00DD26D9"/>
    <w:rsid w:val="00DF54B8"/>
    <w:rsid w:val="00DF76ED"/>
    <w:rsid w:val="00E927FB"/>
    <w:rsid w:val="00EB28F1"/>
    <w:rsid w:val="00F6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2A67"/>
    <w:pPr>
      <w:suppressAutoHyphens/>
      <w:spacing w:after="0" w:line="240" w:lineRule="auto"/>
    </w:pPr>
    <w:rPr>
      <w:rFonts w:ascii="Times New Roman" w:eastAsia="Times New Roman" w:hAnsi="Times New Roman" w:cs="Times New Roman"/>
      <w:kern w:val="1"/>
      <w:sz w:val="24"/>
      <w:szCs w:val="24"/>
      <w:lang w:eastAsia="ar-SA"/>
    </w:rPr>
  </w:style>
  <w:style w:type="paragraph" w:styleId="Nadpis1">
    <w:name w:val="heading 1"/>
    <w:basedOn w:val="Normln"/>
    <w:next w:val="Normln"/>
    <w:link w:val="Nadpis1Char"/>
    <w:uiPriority w:val="9"/>
    <w:qFormat/>
    <w:rsid w:val="004C2A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C2A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C2A67"/>
    <w:pPr>
      <w:ind w:left="720"/>
      <w:contextualSpacing/>
    </w:pPr>
  </w:style>
  <w:style w:type="character" w:customStyle="1" w:styleId="Nadpis1Char">
    <w:name w:val="Nadpis 1 Char"/>
    <w:basedOn w:val="Standardnpsmoodstavce"/>
    <w:link w:val="Nadpis1"/>
    <w:uiPriority w:val="9"/>
    <w:rsid w:val="004C2A67"/>
    <w:rPr>
      <w:rFonts w:asciiTheme="majorHAnsi" w:eastAsiaTheme="majorEastAsia" w:hAnsiTheme="majorHAnsi" w:cstheme="majorBidi"/>
      <w:b/>
      <w:bCs/>
      <w:color w:val="365F91" w:themeColor="accent1" w:themeShade="BF"/>
      <w:kern w:val="1"/>
      <w:sz w:val="28"/>
      <w:szCs w:val="28"/>
      <w:lang w:eastAsia="ar-SA"/>
    </w:rPr>
  </w:style>
  <w:style w:type="character" w:customStyle="1" w:styleId="Nadpis2Char">
    <w:name w:val="Nadpis 2 Char"/>
    <w:basedOn w:val="Standardnpsmoodstavce"/>
    <w:link w:val="Nadpis2"/>
    <w:uiPriority w:val="9"/>
    <w:rsid w:val="004C2A67"/>
    <w:rPr>
      <w:rFonts w:asciiTheme="majorHAnsi" w:eastAsiaTheme="majorEastAsia" w:hAnsiTheme="majorHAnsi" w:cstheme="majorBidi"/>
      <w:b/>
      <w:bCs/>
      <w:color w:val="4F81BD" w:themeColor="accent1"/>
      <w:kern w:val="1"/>
      <w:sz w:val="26"/>
      <w:szCs w:val="26"/>
      <w:lang w:eastAsia="ar-SA"/>
    </w:rPr>
  </w:style>
  <w:style w:type="paragraph" w:customStyle="1" w:styleId="Normln-odsazen">
    <w:name w:val="Normální - odsazení"/>
    <w:basedOn w:val="Normln"/>
    <w:link w:val="Normln-odsazenChar"/>
    <w:rsid w:val="00803684"/>
    <w:pPr>
      <w:keepNext/>
      <w:keepLines/>
      <w:suppressAutoHyphens w:val="0"/>
      <w:spacing w:before="40"/>
      <w:ind w:left="1815" w:hanging="1531"/>
      <w:jc w:val="both"/>
    </w:pPr>
    <w:rPr>
      <w:rFonts w:ascii="Arial" w:hAnsi="Arial"/>
      <w:kern w:val="0"/>
      <w:sz w:val="20"/>
      <w:szCs w:val="20"/>
      <w:lang w:eastAsia="cs-CZ"/>
    </w:rPr>
  </w:style>
  <w:style w:type="character" w:customStyle="1" w:styleId="Normln-odsazenChar">
    <w:name w:val="Normální - odsazení Char"/>
    <w:link w:val="Normln-odsazen"/>
    <w:rsid w:val="00803684"/>
    <w:rPr>
      <w:rFonts w:ascii="Arial" w:eastAsia="Times New Roman" w:hAnsi="Arial"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C2A67"/>
    <w:pPr>
      <w:suppressAutoHyphens/>
      <w:spacing w:after="0" w:line="240" w:lineRule="auto"/>
    </w:pPr>
    <w:rPr>
      <w:rFonts w:ascii="Times New Roman" w:eastAsia="Times New Roman" w:hAnsi="Times New Roman" w:cs="Times New Roman"/>
      <w:kern w:val="1"/>
      <w:sz w:val="24"/>
      <w:szCs w:val="24"/>
      <w:lang w:eastAsia="ar-SA"/>
    </w:rPr>
  </w:style>
  <w:style w:type="paragraph" w:styleId="Nadpis1">
    <w:name w:val="heading 1"/>
    <w:basedOn w:val="Normln"/>
    <w:next w:val="Normln"/>
    <w:link w:val="Nadpis1Char"/>
    <w:uiPriority w:val="9"/>
    <w:qFormat/>
    <w:rsid w:val="004C2A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C2A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C2A67"/>
    <w:pPr>
      <w:ind w:left="720"/>
      <w:contextualSpacing/>
    </w:pPr>
  </w:style>
  <w:style w:type="character" w:customStyle="1" w:styleId="Nadpis1Char">
    <w:name w:val="Nadpis 1 Char"/>
    <w:basedOn w:val="Standardnpsmoodstavce"/>
    <w:link w:val="Nadpis1"/>
    <w:uiPriority w:val="9"/>
    <w:rsid w:val="004C2A67"/>
    <w:rPr>
      <w:rFonts w:asciiTheme="majorHAnsi" w:eastAsiaTheme="majorEastAsia" w:hAnsiTheme="majorHAnsi" w:cstheme="majorBidi"/>
      <w:b/>
      <w:bCs/>
      <w:color w:val="365F91" w:themeColor="accent1" w:themeShade="BF"/>
      <w:kern w:val="1"/>
      <w:sz w:val="28"/>
      <w:szCs w:val="28"/>
      <w:lang w:eastAsia="ar-SA"/>
    </w:rPr>
  </w:style>
  <w:style w:type="character" w:customStyle="1" w:styleId="Nadpis2Char">
    <w:name w:val="Nadpis 2 Char"/>
    <w:basedOn w:val="Standardnpsmoodstavce"/>
    <w:link w:val="Nadpis2"/>
    <w:uiPriority w:val="9"/>
    <w:rsid w:val="004C2A67"/>
    <w:rPr>
      <w:rFonts w:asciiTheme="majorHAnsi" w:eastAsiaTheme="majorEastAsia" w:hAnsiTheme="majorHAnsi" w:cstheme="majorBidi"/>
      <w:b/>
      <w:bCs/>
      <w:color w:val="4F81BD" w:themeColor="accent1"/>
      <w:kern w:val="1"/>
      <w:sz w:val="26"/>
      <w:szCs w:val="26"/>
      <w:lang w:eastAsia="ar-SA"/>
    </w:rPr>
  </w:style>
  <w:style w:type="paragraph" w:customStyle="1" w:styleId="Normln-odsazen">
    <w:name w:val="Normální - odsazení"/>
    <w:basedOn w:val="Normln"/>
    <w:link w:val="Normln-odsazenChar"/>
    <w:rsid w:val="00803684"/>
    <w:pPr>
      <w:keepNext/>
      <w:keepLines/>
      <w:suppressAutoHyphens w:val="0"/>
      <w:spacing w:before="40"/>
      <w:ind w:left="1815" w:hanging="1531"/>
      <w:jc w:val="both"/>
    </w:pPr>
    <w:rPr>
      <w:rFonts w:ascii="Arial" w:hAnsi="Arial"/>
      <w:kern w:val="0"/>
      <w:sz w:val="20"/>
      <w:szCs w:val="20"/>
      <w:lang w:eastAsia="cs-CZ"/>
    </w:rPr>
  </w:style>
  <w:style w:type="character" w:customStyle="1" w:styleId="Normln-odsazenChar">
    <w:name w:val="Normální - odsazení Char"/>
    <w:link w:val="Normln-odsazen"/>
    <w:rsid w:val="00803684"/>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4F2F4-CD90-4D75-87BC-E7E26E889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2</Pages>
  <Words>458</Words>
  <Characters>2706</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2023-10-19T19:18:00Z</cp:lastPrinted>
  <dcterms:created xsi:type="dcterms:W3CDTF">2016-05-04T19:44:00Z</dcterms:created>
  <dcterms:modified xsi:type="dcterms:W3CDTF">2023-10-19T19:18:00Z</dcterms:modified>
</cp:coreProperties>
</file>